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Issuance of free day use pass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veterans.</w:t>
      </w:r>
      <w:r>
        <w:t xml:space="preserve">  </w:t>
      </w:r>
      <w:r xmlns:wp="http://schemas.openxmlformats.org/drawingml/2010/wordprocessingDrawing" xmlns:w15="http://schemas.microsoft.com/office/word/2012/wordml">
        <w:rPr>
          <w:rFonts w:ascii="Arial" w:hAnsi="Arial" w:cs="Arial"/>
          <w:sz w:val="22"/>
          <w:szCs w:val="22"/>
        </w:rPr>
        <w:t xml:space="preserve">[PL 2009, c. 440, §5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discharge certificate from active duty services, also known as the DD214, whether the following criteria are met:</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w:t>
      </w:r>
      <w:r>
        <w:t>Title 12, section 1819‑A</w:t>
      </w:r>
      <w:r>
        <w:t xml:space="preserve">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Issuance of free day use pass to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Issuance of free day use pass to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 ISSUANCE OF FREE DAY USE PASS TO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