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Mass fatality plan</w:t>
      </w:r>
    </w:p>
    <w:p>
      <w:pPr>
        <w:jc w:val="both"/>
        <w:spacing w:before="100" w:after="100"/>
        <w:ind w:start="360"/>
        <w:ind w:firstLine="360"/>
      </w:pPr>
      <w:r>
        <w:rPr/>
      </w:r>
      <w:r>
        <w:rPr/>
      </w:r>
      <w:r>
        <w:t xml:space="preserve">The director, in consultation with the Office of Chief Medical Examiner, the Department of Health and Human Services and the Maine Center for Disease Control and Prevention within that department and other agencies as appropriate, shall prepare a plan for the recovery, identification and disposition of human remains in a disaster.  The Office of Chief Medical Examiner is responsible for execution of the plan, and all members of the emergency management forces shall cooperate and assist the office in executing the plan.</w:t>
      </w:r>
      <w:r>
        <w:t xml:space="preserve">  </w:t>
      </w:r>
      <w:r xmlns:wp="http://schemas.openxmlformats.org/drawingml/2010/wordprocessingDrawing" xmlns:w15="http://schemas.microsoft.com/office/word/2012/wordml">
        <w:rPr>
          <w:rFonts w:ascii="Arial" w:hAnsi="Arial" w:cs="Arial"/>
          <w:sz w:val="22"/>
          <w:szCs w:val="22"/>
        </w:rPr>
        <w:t xml:space="preserve">[PL 2017, c. 475, Pt. A, §64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PL 2017, c. 475, Pt. 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Mass fatality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Mass fatality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§851. MASS FATALITY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