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100-A</w:t>
        <w:t xml:space="preserve">.  </w:t>
      </w:r>
      <w:r>
        <w:rPr>
          <w:b/>
        </w:rPr>
        <w:t xml:space="preserve">Confidentiality of complaints and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All complaints and investigative records of the commission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IV</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B</w:t>
        <w:t xml:space="preserve">.  </w:t>
      </w:r>
      <w:r>
        <w:rPr/>
      </w:r>
      <w:r>
        <w:t xml:space="preserve">The complaint has been listed on a meeting agenda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B</w:t>
        <w:t xml:space="preserve">.  </w:t>
      </w:r>
      <w:r>
        <w:rPr/>
      </w:r>
      <w:r>
        <w:t xml:space="preserve">To designated complaint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C</w:t>
        <w:t xml:space="preserve">.  </w:t>
      </w:r>
      <w:r>
        <w:rPr/>
      </w:r>
      <w:r>
        <w:t xml:space="preserve">By a department employee or complaint officer designated by the commissioner when and to the extent considered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E</w:t>
        <w:t xml:space="preserve">.  </w:t>
      </w:r>
      <w:r>
        <w:rPr/>
      </w:r>
      <w:r>
        <w:t xml:space="preserve">When and to the extent considered necessary by the commissioner to avoid imminent and serious harm.  The authority of the commissioner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F</w:t>
        <w:t xml:space="preserve">.  </w:t>
      </w:r>
      <w:r>
        <w:rPr/>
      </w:r>
      <w:r>
        <w:t xml:space="preserve">Pursuant to rules adopted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G</w:t>
        <w:t xml:space="preserve">.  </w:t>
      </w:r>
      <w:r>
        <w:rPr/>
      </w:r>
      <w:r>
        <w:t xml:space="preserve">To the person investigated on that person's request.  The commissioner may refuse to disclose part or all of any investigative information, including the fact of an investigation, when the commissioner determines that disclosure would prejudice the investigation.  The authority of the commissioner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[RR 1999, c. 1, §53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§53 (COR).]</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knowingly or intentionally makes a disclosure in violation of this section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§53 (COR). PL 1999, c. 355,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§100-A. Confidentiality of complaints and investigative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§100-A. Confidentiality of complaints and investigative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§100-A. CONFIDENTIALITY OF COMPLAINTS AND INVESTIGATIVE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