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Reinstatement following suspension</w:t>
      </w:r>
    </w:p>
    <w:p>
      <w:pPr>
        <w:jc w:val="both"/>
        <w:spacing w:before="100" w:after="100"/>
        <w:ind w:start="360"/>
        <w:ind w:firstLine="360"/>
      </w:pPr>
      <w:r>
        <w:rPr/>
      </w:r>
      <w:r>
        <w:rPr/>
      </w:r>
      <w:r>
        <w:t xml:space="preserve">Any pilot whose license has been suspended is, following the expiration of the period of the suspension, entitled to the reinstatement of the pilot's license, as long as the pilot possesses the qualifications required of pilots as of the time the pilot's suspension expires.</w:t>
      </w:r>
      <w:r>
        <w:t xml:space="preserve">  </w:t>
      </w:r>
      <w:r xmlns:wp="http://schemas.openxmlformats.org/drawingml/2010/wordprocessingDrawing" xmlns:w15="http://schemas.microsoft.com/office/word/2012/wordml">
        <w:rPr>
          <w:rFonts w:ascii="Arial" w:hAnsi="Arial" w:cs="Arial"/>
          <w:sz w:val="22"/>
          <w:szCs w:val="22"/>
        </w:rPr>
        <w:t xml:space="preserve">[RR 2021, c. 2,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RR 2021, c. 2, Pt. B, §229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Reinstatement following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Reinstatement following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 REINSTATEMENT FOLLOWING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