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Waters between 2 towns</w:t>
      </w:r>
    </w:p>
    <w:p>
      <w:pPr>
        <w:jc w:val="both"/>
        <w:spacing w:before="100" w:after="100"/>
        <w:ind w:start="360"/>
        <w:ind w:firstLine="360"/>
      </w:pPr>
      <w:r>
        <w:rPr/>
      </w:r>
      <w:r>
        <w:rPr/>
      </w:r>
      <w:r>
        <w:t xml:space="preserve">In any river or tidewater lying between 2 towns or cities, no such wharf or fish weir described in </w:t>
      </w:r>
      <w:r>
        <w:t>sections 1022</w:t>
      </w:r>
      <w:r>
        <w:t xml:space="preserve"> and </w:t>
      </w:r>
      <w:r>
        <w:t>1023</w:t>
      </w:r>
      <w:r>
        <w:t xml:space="preserve"> shall be erected without the consent of the municipal officers of both. In no case shall any wharf be extended beyond any wharf lines heretofore legally established.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§1024. Waters between 2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Waters between 2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§1024. WATERS BETWEEN 2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