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ind w:firstLine="360"/>
      </w:pPr>
      <w:r>
        <w:rPr>
          <w:b/>
        </w:rPr>
        <w:t>1</w:t>
        <w:t xml:space="preserve">.  </w:t>
      </w:r>
      <w:r>
        <w:rPr>
          <w:b/>
        </w:rPr>
        <w:t xml:space="preserve">Charter.</w:t>
        <w:t xml:space="preserve"> </w:t>
      </w:r>
      <w:r>
        <w:t xml:space="preserve"> </w:t>
      </w:r>
      <w:r>
        <w:t xml:space="preserve">"Charter" means a private and special law or series of private and special laws that establishes a sewer district and defines its responsibilities and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Rates.</w:t>
        <w:t xml:space="preserve"> </w:t>
      </w:r>
      <w:r>
        <w:t xml:space="preserve"> </w:t>
      </w:r>
      <w:r>
        <w:t xml:space="preserve">"Rates" means a rate, toll, rent, assessment, supplemental charge or other lawful charge established by a sewer district pursuant to its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Sewer district.</w:t>
        <w:t xml:space="preserve"> </w:t>
      </w:r>
      <w:r>
        <w:t xml:space="preserve"> </w:t>
      </w:r>
      <w:r>
        <w:t xml:space="preserve">"Sewer district" means a district, including a multipurpose district and standard district, created by a private and special law of the State whose purposes include collection, interception and treatment of sewerage.  Except as otherwise provided in this chapter or other applicable law, "sewer district" does not include a district whose sewerage activities are confined to interception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4</w:t>
        <w:t xml:space="preserve">.  </w:t>
      </w:r>
      <w:r>
        <w:rPr>
          <w:b/>
        </w:rPr>
        <w:t xml:space="preserve">Standard district.</w:t>
        <w:t xml:space="preserve"> </w:t>
      </w:r>
      <w:r>
        <w:t xml:space="preserve"> </w:t>
      </w:r>
      <w:r>
        <w:t xml:space="preserve">"Standard district" means a sewer district that is formed and chartered by a private and special law in conformance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