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1039</w:t>
        <w:t xml:space="preserve">.  </w:t>
      </w:r>
      <w:r>
        <w:rPr>
          <w:b/>
        </w:rPr>
        <w:t xml:space="preserve">Powers</w:t>
      </w:r>
    </w:p>
    <w:p>
      <w:pPr>
        <w:jc w:val="both"/>
        <w:spacing w:before="100" w:after="100"/>
        <w:ind w:start="360"/>
        <w:ind w:firstLine="360"/>
      </w:pPr>
      <w:r>
        <w:rPr/>
      </w:r>
      <w:r>
        <w:rPr/>
      </w:r>
      <w:r>
        <w:t xml:space="preserve">Except as otherwise provided by law, for the purposes of its incorporation, a standard district may locate, construct and maintain pipes, drains, sewers, conduits, treatment plants, pumping stations and other necessary structures and equipment for the collection, interception and treatment of sewerage, commercial and industrial waste and storm and surface water for the health, welfare, comfort and convenience of the inhabitants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All incidental powers, rights and privileges necessary to accomplish the objectives of this chapter are granted to a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§1039.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§1039.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§1039.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