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1310-A</w:t>
        <w:t xml:space="preserve">.  </w:t>
      </w:r>
      <w:r>
        <w:rPr>
          <w:b/>
        </w:rPr>
        <w:t xml:space="preserve">Municipal hazardous waste control</w:t>
      </w:r>
    </w:p>
    <w:p>
      <w:pPr>
        <w:jc w:val="both"/>
        <w:spacing w:before="100" w:after="100"/>
        <w:ind w:start="360"/>
      </w:pPr>
      <w:r>
        <w:rPr>
          <w:b/>
        </w:rPr>
        <w:t>(REALLOCATED FROM TITLE 38, SECTION 1311)</w:t>
      </w:r>
    </w:p>
    <w:p>
      <w:pPr>
        <w:jc w:val="both"/>
        <w:spacing w:before="100" w:after="100"/>
        <w:ind w:start="360"/>
      </w:pPr>
      <w:r>
        <w:rPr>
          <w:b/>
        </w:rPr>
        <w:t>(REALLOCATED TO TITLE 38, SECTION 1319-P)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§238 (RAL). PL 1987, c. 517,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§1310-A. Municipal hazardous waste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§1310-A. MUNICIPAL HAZARDOUS WASTE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