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1310-V</w:t>
        <w:t xml:space="preserve">.  </w:t>
      </w:r>
      <w:r>
        <w:rPr>
          <w:b/>
        </w:rPr>
        <w:t xml:space="preserve">Moratorium</w:t>
      </w:r>
    </w:p>
    <w:p>
      <w:pPr>
        <w:jc w:val="both"/>
        <w:spacing w:before="100" w:after="100"/>
        <w:ind w:start="360"/>
        <w:ind w:firstLine="360"/>
      </w:pPr>
      <w:r>
        <w:rPr/>
      </w:r>
      <w:r>
        <w:rPr/>
      </w:r>
      <w:r>
        <w:t xml:space="preserve">Prior to 91 days after the First Regular Session of the 113th Legislature adjourns, the department may not process or act upon any application or issue a license for a new commercial landfill facility or the substantial expansion of a commercial landfill facility.  In processing applications after the moratorium, priority must be given to applications for commercial landfill facilities used for the disposal of solid waste that is generated by an energy recovery facility designed to reduce the volume or alter the physical characteristics of municipal solid waste and to produce electricity through incineration.  Notwithstanding the provisions of </w:t>
      </w:r>
      <w:r>
        <w:t>Title 1, section 302</w:t>
      </w:r>
      <w:r>
        <w:t xml:space="preserve">, any application for a new or substantially expanded commercial landfill facility pending or filed after the effective date of this article and any application for an expanded commercial landfill facility filed after October 8, 1987, is subject to departmental rules regarding solid waste adopted pursuant to </w:t>
      </w:r>
      <w:r>
        <w:t>section 1304</w:t>
      </w:r>
      <w:r>
        <w:t xml:space="preserve"> and the provisions of Private and Special Law 1987, chapter 28.  Notwithstanding other provisions of this Title, the department may not issue a license for a new or substantially expanded commercial landfill facility under this article or for an expanded commercial landfill facility, the application for which was filed after October 8, 1987, until the board has adopted rules pursuant to the provisions of Private and Special Law 1987, chapter 28.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§252 (AMD).]</w:t>
      </w:r>
    </w:p>
    <w:p>
      <w:pPr>
        <w:jc w:val="both"/>
        <w:spacing w:before="100" w:after="100"/>
        <w:ind w:start="360"/>
        <w:ind w:firstLine="360"/>
      </w:pPr>
      <w:r>
        <w:rPr/>
      </w:r>
      <w:r>
        <w:rPr/>
      </w:r>
      <w:r>
        <w:t xml:space="preserve">For the purposes of this section, the term, "commercial landfill facility" is defined pursuant to </w:t>
      </w:r>
      <w:r>
        <w:t>section 1303‑C</w:t>
      </w:r>
      <w:r>
        <w:t xml:space="preserve">, except that the term does not include a waste facility that is controlled by the owners of an energy recovery facility or facilities and that is used exclusively for the disposal of ash or other wastes processed and thereby generated by such energy recovery facility or facilities.</w:t>
      </w:r>
      <w:r>
        <w:t xml:space="preserve">  </w:t>
      </w:r>
      <w:r xmlns:wp="http://schemas.openxmlformats.org/drawingml/2010/wordprocessingDrawing" xmlns:w15="http://schemas.microsoft.com/office/word/2012/wordml">
        <w:rPr>
          <w:rFonts w:ascii="Arial" w:hAnsi="Arial" w:cs="Arial"/>
          <w:sz w:val="22"/>
          <w:szCs w:val="22"/>
        </w:rPr>
        <w:t xml:space="preserve">[PL 1989, c. 878,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§4 (AMD). PL 1989, c. 878, §B41 (AMD). PL 1989, c. 890, §§A40,B252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§1310-V. Moratorium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§1310-V. Moratorium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§1310-V. MORATORIUM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