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1319-F</w:t>
        <w:t xml:space="preserve">.  </w:t>
      </w:r>
      <w:r>
        <w:rPr>
          <w:b/>
        </w:rPr>
        <w:t xml:space="preserve">Personnel and equipment</w:t>
      </w:r>
    </w:p>
    <w:p>
      <w:pPr>
        <w:jc w:val="both"/>
        <w:spacing w:before="100" w:after="100"/>
        <w:ind w:start="360"/>
        <w:ind w:firstLine="360"/>
      </w:pPr>
      <w:r>
        <w:rPr/>
      </w:r>
      <w:r>
        <w:rPr/>
      </w:r>
      <w:r>
        <w:t xml:space="preserve">The commissioner may employ personnel, subject to the Personnel Laws, and maintain equipment necessary to carry out the department's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§1319-F.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§1319-F.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§1319-F.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