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1319-V</w:t>
        <w:t xml:space="preserve">.  </w:t>
      </w:r>
      <w:r>
        <w:rPr>
          <w:b/>
        </w:rPr>
        <w:t xml:space="preserve">Corrective action</w:t>
      </w:r>
    </w:p>
    <w:p>
      <w:pPr>
        <w:jc w:val="both"/>
        <w:spacing w:before="100" w:after="0"/>
        <w:ind w:start="360"/>
        <w:ind w:firstLine="360"/>
      </w:pPr>
      <w:r>
        <w:rPr>
          <w:b/>
        </w:rPr>
        <w:t>1</w:t>
        <w:t xml:space="preserve">.  </w:t>
      </w:r>
      <w:r>
        <w:rPr>
          <w:b/>
        </w:rPr>
        <w:t xml:space="preserve">Requirement.</w:t>
        <w:t xml:space="preserve"> </w:t>
      </w:r>
      <w:r>
        <w:t xml:space="preserve"> </w:t>
      </w:r>
      <w:r>
        <w:t xml:space="preserve">The facility owner or operator shall undertake corrective action beyond the facility boundary or site to remove the danger to public health or the environment unless the facility owner or operator demonstrates to the satisfaction of the board that the owner or operator is unable to undertake the action and despite the owner or operator's best efforts, the owner or operator was unable to obtain the necessary permission to undertake the action.  If the board makes these findings, the facility owner or operator is not relieved of responsibility to clean up a release that has migrated off the facility site.  The board shall decide how to proceed on a case-by-case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§8 (NEW).]</w:t>
      </w:r>
    </w:p>
    <w:p>
      <w:pPr>
        <w:jc w:val="both"/>
        <w:spacing w:before="100" w:after="0"/>
        <w:ind w:start="360"/>
        <w:ind w:firstLine="360"/>
      </w:pPr>
      <w:r>
        <w:rPr>
          <w:b/>
        </w:rPr>
        <w:t>2</w:t>
        <w:t xml:space="preserve">.  </w:t>
      </w:r>
      <w:r>
        <w:rPr>
          <w:b/>
        </w:rPr>
        <w:t xml:space="preserve">Compliance schedules.</w:t>
        <w:t xml:space="preserve"> </w:t>
      </w:r>
      <w:r>
        <w:t xml:space="preserve"> </w:t>
      </w:r>
      <w:r>
        <w:t xml:space="preserve">If corrective action can not be completed by an applicant prior to issuance of a license pursuant to this subchapter, the license must contain a schedule of compliance for corrective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§1319-V. Corrective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§1319-V. Corrective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§1319-V. CORRECTIVE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