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Lien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All costs incurred by the State for the abatement, cleanup or mitigation of hazards posed by an uncontrolled hazardous substance site and all interest and penalties shall be a lien against the real estate of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shall be governed by the following.</w:t>
      </w:r>
    </w:p>
    <w:p>
      <w:pPr>
        <w:jc w:val="both"/>
        <w:spacing w:before="100" w:after="0"/>
        <w:ind w:start="720"/>
      </w:pPr>
      <w:r>
        <w:rPr/>
        <w:t>A</w:t>
        <w:t xml:space="preserve">.  </w:t>
      </w:r>
      <w:r>
        <w:rPr/>
      </w:r>
      <w:r>
        <w:t xml:space="preserve">Any lien filed pursuant to this section on real estate that encompasses an uncontrolled hazardous substance site has precedence over all encumbrances on the real estate, including liens of the State or any political subdivision, recorded after July 7, 1987. The term "real estate" in this paragraph includes all real estate of a responsible party that has been included in the property description of the affected real estate within the 3-year period preceding the date of filing of the lien or on or after July 7, 1987,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811, §5 (AMD); PL 1991, c. 811, §7 (AFF).]</w:t>
      </w:r>
    </w:p>
    <w:p>
      <w:pPr>
        <w:jc w:val="both"/>
        <w:spacing w:before="100" w:after="0"/>
        <w:ind w:start="720"/>
      </w:pPr>
      <w:r>
        <w:rPr/>
        <w:t>B</w:t>
        <w:t xml:space="preserve">.  </w:t>
      </w:r>
      <w:r>
        <w:rPr/>
      </w:r>
      <w:r>
        <w:t xml:space="preserve">Any lien filed pursuant to this section on any other real estate of the party responsible for the uncontrolled hazardous substance site shall have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§5 (AMD); PL 1991, c. 811, §7 (AFF).]</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of Environmental Protection shall be mailed by certified mail, return receipt requested, to all those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shall be effective when filed with the registry of deeds for the county in which the real estate is located. The lien shall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political subdivision except for the real estate that encompasses an uncontrolled hazardous substance site and that is owned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§6 (AMD); PL 1991, c. 811, §7 (AFF).]</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with respect to which a lien has been recorded under this section, has been paid or reduced, the commissioner, upon request by any person of record holding interest in the real estate which is the subject of the lien, shall issue a certificate discharging or partially discharging the lien. The certificate shall be recorded in the registry in which the lien was recorded. Any action of the foreclosure of the lien shall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§14 (NEW). PL 1987, c. 540 (RPR). PL 1991, c. 811, §§5,6 (AMD). PL 1991, c. 811,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§1371.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§1371.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