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Enforcement</w:t>
      </w:r>
    </w:p>
    <w:p>
      <w:pPr>
        <w:jc w:val="both"/>
        <w:spacing w:before="100" w:after="100"/>
        <w:ind w:start="360"/>
        <w:ind w:firstLine="360"/>
      </w:pPr>
      <w:r>
        <w:rPr/>
      </w:r>
      <w:r>
        <w:rPr/>
      </w:r>
      <w:r>
        <w:t xml:space="preserve">In addition to other enforcement actions allowed under state law, the commissioner may issue an administrative order after providing a notice of violation for failure to comply with the requirements of this chapter and after providing a reasonable opportunity to correct the violation.  The administrative order may include, but is not limited to, a requirement that the owner or operator of the facility cease operation of the facility that is the subject of the violation until the violation has been corrected.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Service.</w:t>
        <w:t xml:space="preserve"> </w:t>
      </w:r>
      <w:r>
        <w:t xml:space="preserve"> </w:t>
      </w:r>
      <w:r>
        <w:t xml:space="preserve">Service of the commissioner's administrative order under this section must be made by hand delivery by an authorized representative of the department or by certified mailing,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Appeal.</w:t>
        <w:t xml:space="preserve"> </w:t>
      </w:r>
      <w:r>
        <w:t xml:space="preserve"> </w:t>
      </w:r>
      <w:r>
        <w:t xml:space="preserve">The person to whom the commissioner's administrative order under this section is directed shall comply immediately or within the time period specified in the order.  That person may appeal the order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