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w:t>
        <w:t xml:space="preserve">.  </w:t>
      </w:r>
      <w:r>
        <w:rPr>
          <w:b/>
        </w:rPr>
        <w:t xml:space="preserve">Eligibility for clean-up funds</w:t>
      </w:r>
    </w:p>
    <w:p>
      <w:pPr>
        <w:jc w:val="both"/>
        <w:spacing w:before="100" w:after="100"/>
        <w:ind w:start="360"/>
        <w:ind w:firstLine="360"/>
      </w:pPr>
      <w:r>
        <w:rPr/>
      </w:r>
      <w:r>
        <w:rPr/>
      </w:r>
      <w:r>
        <w:t xml:space="preserve">Clean-up costs and 3rd-party damages resulting from discharges from an aboveground oil storage facility or an underground oil storage facility installed in violation of </w:t>
      </w:r>
      <w:r>
        <w:t>section 1393</w:t>
      </w:r>
      <w:r>
        <w:t xml:space="preserve"> are not eligible for coverage by the Maine Ground and Surface Waters Clean-up and Response Fund under </w:t>
      </w:r>
      <w:r>
        <w:t>sections 551</w:t>
      </w:r>
      <w:r>
        <w:t xml:space="preserve"> and </w:t>
      </w:r>
      <w:r>
        <w:t>568‑A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PL 2015, c. 319,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§1398. Eligibility for clean-up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 Eligibility for clean-up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§1398. ELIGIBILITY FOR CLEAN-UP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