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Legislative approval of facilities required</w:t>
      </w:r>
    </w:p>
    <w:p>
      <w:pPr>
        <w:jc w:val="both"/>
        <w:spacing w:before="100" w:after="100"/>
        <w:ind w:start="360"/>
        <w:ind w:firstLine="360"/>
      </w:pPr>
      <w:r>
        <w:rPr/>
      </w:r>
      <w:r>
        <w:rPr/>
      </w:r>
      <w:r>
        <w:t xml:space="preserve">A low-level radioactive waste disposal or storage facility may not be established in the State, unless the Legislature has, by Private and Special Act, approved the establishment of that facility.  The Legislature shall act expeditiously after a decision by the United States Nuclear Regulatory Commission to approve a facility, but may not act until after the conclusion of any judicial review of the decision and any resulting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w:pPr>
        <w:jc w:val="both"/>
        <w:spacing w:before="100" w:after="100"/>
        <w:ind w:start="360"/>
        <w:ind w:firstLine="360"/>
      </w:pPr>
      <w:r>
        <w:rPr/>
      </w:r>
      <w:r>
        <w:rPr/>
      </w:r>
      <w:r>
        <w:t xml:space="preserve">Approval under this section does not replace any other license required by law and is in addition to the voter approval required by </w:t>
      </w:r>
      <w:r>
        <w:t>section 1493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500, §5 (NEW). PL 1983, c. 583, §25 (AMD). PL 1985, c. 705, §4 (AMD). PL 1995, c. 642,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Legislative approval of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§1479. LEGISLATIVE APPROVAL OF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