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Technical assistance to municipalities</w:t>
      </w:r>
    </w:p>
    <w:p>
      <w:pPr>
        <w:jc w:val="both"/>
        <w:spacing w:before="100" w:after="100"/>
        <w:ind w:start="360"/>
        <w:ind w:firstLine="360"/>
      </w:pPr>
      <w:r>
        <w:rPr/>
      </w:r>
      <w:r>
        <w:rPr/>
      </w:r>
      <w:r>
        <w:t xml:space="preserve">The department shall assist interested municipalities and regional associations in developing collection programs for mercury-added products.</w:t>
      </w:r>
      <w:r>
        <w:t xml:space="preserve">  </w:t>
      </w:r>
      <w:r xmlns:wp="http://schemas.openxmlformats.org/drawingml/2010/wordprocessingDrawing" xmlns:w15="http://schemas.microsoft.com/office/word/2012/wordml">
        <w:rPr>
          <w:rFonts w:ascii="Arial" w:hAnsi="Arial" w:cs="Arial"/>
          <w:sz w:val="22"/>
          <w:szCs w:val="22"/>
        </w:rPr>
        <w:t xml:space="preserve">[PL 2011, c. 655, Pt. GG, §20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2011, c. 655, Pt. GG, §20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§1669. Technical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Technical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§1669. TECHNICAL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