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Short title</w:t>
      </w:r>
    </w:p>
    <w:p>
      <w:pPr>
        <w:jc w:val="both"/>
        <w:spacing w:before="100" w:after="100"/>
        <w:ind w:start="360"/>
        <w:ind w:firstLine="360"/>
      </w:pPr>
      <w:r>
        <w:rPr/>
      </w:r>
      <w:r>
        <w:rPr/>
      </w:r>
      <w:r>
        <w:t xml:space="preserve">This chapter may be cited as the "Maine Refuse Disposal District Enabling Act."</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