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Purposes</w:t>
      </w:r>
    </w:p>
    <w:p>
      <w:pPr>
        <w:jc w:val="both"/>
        <w:spacing w:before="100" w:after="100"/>
        <w:ind w:start="360"/>
        <w:ind w:firstLine="360"/>
      </w:pPr>
      <w:r>
        <w:rPr/>
      </w:r>
      <w:r>
        <w:rPr/>
      </w:r>
      <w:r>
        <w:t xml:space="preserve">The purposes of each district formed under this chapter are to construct, maintain, operate or otherwise provide for a system of solid waste management for domestic, commercial and industrial solid waste and, in conjunction, to foster resource conservation and resource recovery for public purposes and for the health, welfare, comfort and convenience of the inhabitants of the district.  It is anticipated that, in the furtherance of the purpose and declaration of policy of this Act, each district may contract and otherwise act in conjunction with a variety of public, private and municipal firms, corporations and persons.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§1703.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§1703.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