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1723</w:t>
        <w:t xml:space="preserve">.  </w:t>
      </w:r>
      <w:r>
        <w:rPr>
          <w:b/>
        </w:rPr>
        <w:t xml:space="preserve">Transfer of property and assets</w:t>
      </w:r>
    </w:p>
    <w:p>
      <w:pPr>
        <w:jc w:val="both"/>
        <w:spacing w:before="100" w:after="100"/>
        <w:ind w:start="360"/>
        <w:ind w:firstLine="360"/>
      </w:pPr>
      <w:r>
        <w:rPr/>
      </w:r>
      <w:r>
        <w:rPr/>
      </w:r>
      <w:r>
        <w:t xml:space="preserve">When the territory of a municipality falls within a disposal district which has been issued its certificate of organization and has assumed the management of and responsibility for disposal services within its territorial limits, the directors of the disposal district shall determine what disposal property or properties, if any, owned by any municipality within the disposal district shall be necessary to carry on the functions of the disposal district and shall request in writing that the municipal officers of any municipality within the disposal district convey title to the disposal property to the disposal district and the municipal officers shall make the conveyance.  The disposal district shall pay fair compensation for the property or properties.  Any request by the directors of the district shall be made in writing within 2 years of the date of the certificate of organization or the effective date on which a new member joins the district, whichever is appropriate, and shall be limited to facilities existing as of the date of the certificate of organization or the effective date on which a new member joins the district, whichever is appropriate.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§1723. Transfer of property and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§1723. Transfer of property and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§1723. TRANSFER OF PROPERTY AND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