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1732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last known address of owner or owners.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If the owner or owners are not known or if they cannot be notified by personal service or certified mail, notice may be given by publication in the same manner as provided for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as for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of the district shall hold a public hearing on the advisability of the proposed exercise of the right of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§1733.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§1733.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