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w:t>
        <w:t xml:space="preserve">.  </w:t>
      </w:r>
      <w:r>
        <w:rPr>
          <w:b/>
        </w:rPr>
        <w:t xml:space="preserve">Annual audit</w:t>
      </w:r>
    </w:p>
    <w:p>
      <w:pPr>
        <w:jc w:val="both"/>
        <w:spacing w:before="100" w:after="100"/>
        <w:ind w:start="360"/>
        <w:ind w:firstLine="360"/>
      </w:pPr>
      <w:r>
        <w:rPr/>
      </w:r>
      <w:r>
        <w:rPr/>
      </w:r>
      <w:r>
        <w:t xml:space="preserve">Each year an audit must be made of the accounts of the district, and for this purpose authorized agents of a certified public accounting firm appointed by the directors must have access to all necessary papers, books and records.  Upon the completion of each audit, a report must be made to the chair of the district board of directors and a copy must be sent to the municipal officers of each member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B, §294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§1740.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§1740.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