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Operational date of watershed districts</w:t>
      </w:r>
    </w:p>
    <w:p>
      <w:pPr>
        <w:jc w:val="both"/>
        <w:spacing w:before="100" w:after="100"/>
        <w:ind w:start="360"/>
        <w:ind w:firstLine="360"/>
      </w:pPr>
      <w:r>
        <w:rPr/>
      </w:r>
      <w:r>
        <w:rPr/>
      </w:r>
      <w:r>
        <w:t xml:space="preserve">On the date set by the commissioner as provided in </w:t>
      </w:r>
      <w:r>
        <w:t>section 2005</w:t>
      </w:r>
      <w:r>
        <w:t xml:space="preserve">, the watershed district becomes operative.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890, §§A40,B286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§2006. Operational date of watershed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Operational date of watershed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§2006. OPERATIONAL DATE OF WATERSHED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