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Liability</w:t>
      </w:r>
    </w:p>
    <w:p>
      <w:pPr>
        <w:jc w:val="both"/>
        <w:spacing w:before="100" w:after="100"/>
        <w:ind w:start="360"/>
        <w:ind w:firstLine="360"/>
      </w:pPr>
      <w:r>
        <w:rPr/>
      </w:r>
      <w:r>
        <w:rPr/>
      </w:r>
      <w:r>
        <w:t xml:space="preserve">Any watershed district formed under this chapter is a governmental entity for the purposes of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§2011.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§2011.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