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§2138. OFFICE PAPER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