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2142</w:t>
        <w:t xml:space="preserve">.  </w:t>
      </w:r>
      <w:r>
        <w:rPr>
          <w:b/>
        </w:rPr>
        <w:t xml:space="preserve">Advertising and marketing claims; waste reduction and recycling</w:t>
      </w:r>
    </w:p>
    <w:p>
      <w:pPr>
        <w:jc w:val="both"/>
        <w:spacing w:before="100" w:after="100"/>
        <w:ind w:start="360"/>
        <w:ind w:firstLine="360"/>
      </w:pPr>
      <w:r>
        <w:rPr/>
      </w:r>
      <w:r>
        <w:rPr/>
      </w:r>
      <w:r>
        <w:t xml:space="preserve">A person who labels, advertises or promotes a product in violation of guidelines for the use of environmental marketing claims published by the Federal Trade Commission in 16 Code of Federal Regulations, Part 260 (1993), as amended, commits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1993, c. 310,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310, §A5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§2142. Advertising and marketing claims; waste reduction and recycling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§2142. Advertising and marketing claims; waste reduction and recycling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§2142. ADVERTISING AND MARKETING CLAIMS; WASTE REDUCTION AND RECYCLING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