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Effect on tort claims</w:t>
      </w:r>
    </w:p>
    <w:p>
      <w:pPr>
        <w:jc w:val="both"/>
        <w:spacing w:before="100" w:after="100"/>
        <w:ind w:start="360"/>
        <w:ind w:firstLine="360"/>
      </w:pPr>
      <w:r>
        <w:rPr/>
      </w:r>
      <w:r>
        <w:rPr/>
      </w:r>
      <w:r>
        <w:t xml:space="preserve">Nothing in this chapter may be construed or understood as in any way increasing any liability that may otherwise arise or be limited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§2181. Effect on tort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Effect on tort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§2181. EFFECT ON TORT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