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2182</w:t>
        <w:t xml:space="preserve">.  </w:t>
      </w:r>
      <w:r>
        <w:rPr>
          <w:b/>
        </w:rPr>
        <w:t xml:space="preserve">Ability to indemnify</w:t>
      </w:r>
    </w:p>
    <w:p>
      <w:pPr>
        <w:jc w:val="both"/>
        <w:spacing w:before="100" w:after="100"/>
        <w:ind w:start="360"/>
        <w:ind w:firstLine="360"/>
      </w:pPr>
      <w:r>
        <w:rPr/>
      </w:r>
      <w:r>
        <w:rPr/>
      </w:r>
      <w:r>
        <w:t xml:space="preserve">Nothing in this subchapter may be construed to prevent any host municipality, regional association or the State from obtaining or giving such indemnities as may be appropriate in connection with the ownership, operation or control of a municipal solid waste facility.</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§2182. Ability to indemnify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§2182. Ability to indemnify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§2182. ABILITY TO INDEMNIFY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