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Revenue refunding securities</w:t>
      </w:r>
    </w:p>
    <w:p>
      <w:pPr>
        <w:jc w:val="both"/>
        <w:spacing w:before="100" w:after="100"/>
        <w:ind w:start="360"/>
        <w:ind w:firstLine="360"/>
      </w:pPr>
      <w:r>
        <w:rPr/>
      </w:r>
      <w:r>
        <w:rPr/>
      </w:r>
      <w:r>
        <w:t xml:space="preserve">The agency may provide for the issuance of revenue refunding securities of the agency to refund any outstanding revenue securities issued under this subchapter or to refund any obligations or securities of any municipality, including the payment of any redemption premiums and any interest accrued or to accrue to the date of redemption, and, if deemed advisable for the agency, to construct or enable the construction of improvements, extensions, enlargements or additions of the original project.  The agency may provide for the issuance of revenue obligation securities of the agency for the combined purpose of refunding any outstanding revenue obligation securities or revenue refunding securities issued under this subchapter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of any improvements, extensions, enlargements or additions of any project.  The issuance of the securities, the maturities and other details, the rights and remedies of the holders and the rights, powers, privileges, duties and obligations of the agency shall be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§2217.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§2217.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