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2236</w:t>
        <w:t xml:space="preserve">.  </w:t>
      </w:r>
      <w:r>
        <w:rPr>
          <w:b/>
        </w:rPr>
        <w:t xml:space="preserve">Limitation</w:t>
      </w:r>
    </w:p>
    <w:p>
      <w:pPr>
        <w:jc w:val="both"/>
        <w:spacing w:before="100" w:after="100"/>
        <w:ind w:start="360"/>
        <w:ind w:firstLine="360"/>
      </w:pPr>
      <w:r>
        <w:rPr/>
      </w:r>
      <w:r>
        <w:rPr/>
      </w:r>
      <w:r>
        <w:t xml:space="preserve">Nothing in this subchapter may be construed to create or expand any authority of the department over financial, organizational or rate regulation of incineration facilities.</w:t>
      </w:r>
      <w:r>
        <w:t xml:space="preserve">  </w:t>
      </w:r>
      <w:r xmlns:wp="http://schemas.openxmlformats.org/drawingml/2010/wordprocessingDrawing" xmlns:w15="http://schemas.microsoft.com/office/word/2012/wordml">
        <w:rPr>
          <w:rFonts w:ascii="Arial" w:hAnsi="Arial" w:cs="Arial"/>
          <w:sz w:val="22"/>
          <w:szCs w:val="22"/>
        </w:rPr>
        <w:t xml:space="preserve">[PL 2011, c. 655, Pt. GG, §68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RR 1993, c. 1, §138 (COR). PL 1995, c. 656, §A68 (AMD). PL 2011, c. 655, Pt. GG, §68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§2236.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§2236.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§2236.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