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§3 (AMD). PL 1995, c. 49, §2 (RP). PL 1995, c. 50, §2 (RP). PL 1995, c. 65, §A151 (AMD). PL 1995, c. 65, §§A153,C15 (AFF). PL 2007, c. 466, Pt. A,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