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Enforcement of operating restrictions</w:t>
      </w:r>
    </w:p>
    <w:p>
      <w:pPr>
        <w:jc w:val="both"/>
        <w:spacing w:before="100" w:after="100"/>
        <w:ind w:start="360"/>
        <w:ind w:firstLine="360"/>
      </w:pPr>
      <w:r>
        <w:rPr/>
      </w:r>
      <w:r>
        <w:rPr/>
      </w:r>
      <w:r>
        <w:t xml:space="preserve">Every law enforcement officer in this State, including harbor masters and their deputies, shall have the authority to enforce this subchapter, and in the exercise thereof shall have the authority to stop and board any such watercraft, vessel or motorboat found in violation of said subchapter. It shall be unlawful for the operator of any such watercraft, vessel or motorboat to fail to stop upon hail from any such officer, and a violation of the same shall be punished as provided in </w:t>
      </w:r>
      <w:r>
        <w:t>section 282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 Enforcement of operating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Enforcement of operating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§285. ENFORCEMENT OF OPERATING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