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Purpose</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beverage containers are a major source of nondegradable litter and solid waste in this State and that the collection and disposal of this litter and solid waste constitute a great financial burden for the citizens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create incentives for the manufacturers, distributors, dealers and consumers of beverage containers to reuse or recycle beverage containers thereby removing the blight on the landscape caused by the disposal of these containers on the highways and lands of the State and reducing the increasing costs of litter collection and municipal solid waste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