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Procedure</w:t>
      </w:r>
    </w:p>
    <w:p>
      <w:pPr>
        <w:jc w:val="both"/>
        <w:spacing w:before="100" w:after="100"/>
        <w:ind w:start="360"/>
        <w:ind w:firstLine="360"/>
      </w:pPr>
      <w:r>
        <w:rPr/>
      </w:r>
      <w:r>
        <w:rPr/>
      </w:r>
      <w:r>
        <w:t xml:space="preserve">Within 90 days of the completion of litigation or settlement for which compensation for legal expenses is available under </w:t>
      </w:r>
      <w:r>
        <w:t>section 356</w:t>
      </w:r>
      <w:r>
        <w:t xml:space="preserve">, a municipality may apply to the commissioner for reimbursement of those expenses that have not been awarded to it by the court and paid pursuant to </w:t>
      </w:r>
      <w:r>
        <w:t>Title 30‑A, section 4452, subsection 3, paragraph D</w:t>
      </w:r>
      <w:r>
        <w:t xml:space="preserve">.  The commissioner shall make an award of compensation that the commissioner determines to be just under the circumstances. In order to be awarded compensation, it is not necessary that the municipality prevail in the litigation or the settlement, but only that its position be determined by the commissioner to have been reasonable.  Awards are made on a first-come first-served basis.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884, §C4 (AMD). PL 1989, c. 890, §§A40,B17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§357.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§357.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