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§480-A. FINDINGS; PURPOSE;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