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§480-F. Delegation of permit-granting authority to municipality;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§480-F. DELEGATION OF PERMIT-GRANTING AUTHORITY TO MUNICIPALITY;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