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480-FF</w:t>
        <w:t xml:space="preserve">.  </w:t>
      </w:r>
      <w:r>
        <w:rPr>
          <w:b/>
        </w:rPr>
        <w:t xml:space="preserve">Notification of identification; shorebird nesting, feeding and staging areas</w:t>
      </w:r>
    </w:p>
    <w:p>
      <w:pPr>
        <w:jc w:val="both"/>
        <w:spacing w:before="100" w:after="100"/>
        <w:ind w:start="360"/>
        <w:ind w:firstLine="360"/>
      </w:pPr>
      <w:r>
        <w:rPr/>
      </w:r>
      <w:r>
        <w:rPr/>
      </w:r>
      <w:r>
        <w:t xml:space="preserve">If an area is identified by the Department of Inland Fisheries and Wildlife as the type of area listed in </w:t>
      </w:r>
      <w:r>
        <w:t>section 480‑B, subsection 10, paragraph B</w:t>
      </w:r>
      <w:r>
        <w:t xml:space="preserve">, subparagraph (3) after the effective date of this section, the department shall notify each municipality in which the significant wildlife habitat is located and members of the Legislature who represent residents of the municipality in which the significant wildlife habitat is located.  The department and the Department of Inland Fisheries and Wildlife shall report to the joint standing committees of the Legislature having jurisdiction over natural resources matters and inland fisheries and wildlife matters on any action taken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2007, c. 533,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§10 (NEW). PL 2007, c. 533,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§480-FF. Notification of identification; shorebird nesting, feeding and staging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§480-FF. Notification of identification; shorebird nesting, feeding and staging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§480-FF. NOTIFICATION OF IDENTIFICATION; SHOREBIRD NESTING, FEEDING AND STAGING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