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480-K</w:t>
        <w:t xml:space="preserve">.  </w:t>
      </w:r>
      <w:r>
        <w:rPr>
          <w:b/>
        </w:rPr>
        <w:t xml:space="preserve">Data bank</w:t>
      </w:r>
    </w:p>
    <w:p>
      <w:pPr>
        <w:jc w:val="both"/>
        <w:spacing w:before="100" w:after="100"/>
        <w:ind w:start="360"/>
        <w:ind w:firstLine="360"/>
      </w:pPr>
      <w:r>
        <w:rPr/>
      </w:r>
      <w:r>
        <w:rPr/>
      </w:r>
      <w:r>
        <w:t xml:space="preserve">The commissioner shall maintain, in cooperation with other state agencies, a data bank containing all the known information pertaining to all resources of state significance, as enumerated in this article, within the State.  All governmental agencies, state or federal, shall make available to the commissioner information in their possession relating to these resources.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§480-K.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§480-K.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§480-K.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