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§493. MEMBERSHIP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