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w:t>
        <w:t xml:space="preserve">.  </w:t>
      </w:r>
      <w:r>
        <w:rPr>
          <w:b/>
        </w:rPr>
        <w:t xml:space="preserve">Execution by Governor; form of execution</w:t>
      </w:r>
    </w:p>
    <w:p>
      <w:pPr>
        <w:jc w:val="both"/>
        <w:spacing w:before="100" w:after="100"/>
        <w:ind w:start="360"/>
        <w:ind w:firstLine="360"/>
      </w:pPr>
      <w:r>
        <w:rPr/>
      </w:r>
      <w:r>
        <w:rPr/>
      </w:r>
      <w:r>
        <w:t xml:space="preserve">The Governor of this State is authorized and directed to execute a compact, on behalf of the State of Maine, with any one or more of the states of New Hampshire, Vermont, Massachusetts, Connecticut, Rhode Island and New York, to be known as the New England Interstate Water Pollution Control Compact, heretofore adopted by the states of Massachusetts, Connecticut, Rhode Island, New York, Vermont and New Hampshire and approved by Act of the Congress of the United States, and to execute any supplementary agreements with the states now parties to such compact and the operation thereof.</w:t>
      </w:r>
    </w:p>
    <w:p>
      <w:pPr>
        <w:jc w:val="both"/>
        <w:spacing w:before="100" w:after="100"/>
        <w:ind w:start="360"/>
        <w:ind w:firstLine="360"/>
      </w:pPr>
      <w:r>
        <w:rPr/>
      </w:r>
      <w:r>
        <w:rPr/>
      </w:r>
      <w:r>
        <w:t xml:space="preserve">When the Governor, on behalf of the State, executes such compact or any agreement supplementary thereto, the Governor shall affix the Governor's signature thereto under a recital that the compact or agreement is executed pursuant to the provisions thereof, subject to the limitations and qualifications contained in this subchapter.</w:t>
      </w:r>
      <w:r>
        <w:t xml:space="preserve">  </w:t>
      </w:r>
      <w:r xmlns:wp="http://schemas.openxmlformats.org/drawingml/2010/wordprocessingDrawing" xmlns:w15="http://schemas.microsoft.com/office/word/2012/wordml">
        <w:rPr>
          <w:rFonts w:ascii="Arial" w:hAnsi="Arial" w:cs="Arial"/>
          <w:sz w:val="22"/>
          <w:szCs w:val="22"/>
        </w:rPr>
        <w:t xml:space="preserve">[RR 2021, c. 2, Pt. B, §239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§239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§531. Execution by Governor; form of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 Execution by Governor; form of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§531. EXECUTION BY GOVERNOR; FORM OF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