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570-D</w:t>
        <w:t xml:space="preserve">.  </w:t>
      </w:r>
      <w:r>
        <w:rPr>
          <w:b/>
        </w:rPr>
        <w:t xml:space="preserve">Transition</w:t>
      </w:r>
    </w:p>
    <w:p>
      <w:pPr>
        <w:jc w:val="both"/>
        <w:spacing w:before="100" w:after="100"/>
        <w:ind w:start="360"/>
        <w:ind w:firstLine="360"/>
      </w:pPr>
      <w:r>
        <w:rPr/>
      </w:r>
      <w:r>
        <w:rPr/>
      </w:r>
      <w:r>
        <w:t xml:space="preserve">Damage claims filed with the department on or before the effective date of this Act which, after the enactment of this subchapter, would be controlled by the provisions of this subchapter may proceed either in the manner set forth herein or in the manner set forth in </w:t>
      </w:r>
      <w:r>
        <w:t>subchapter II‑A</w:t>
      </w:r>
      <w:r>
        <w:t xml:space="preserve">, at the choice of the claimant.  Reimbursement for any expenditures shall be credited to the fund from which the expenditures were made.</w:t>
      </w:r>
      <w:r>
        <w:t xml:space="preserve">  </w:t>
      </w:r>
      <w:r xmlns:wp="http://schemas.openxmlformats.org/drawingml/2010/wordprocessingDrawing" xmlns:w15="http://schemas.microsoft.com/office/word/2012/wordml">
        <w:rPr>
          <w:rFonts w:ascii="Arial" w:hAnsi="Arial" w:cs="Arial"/>
          <w:sz w:val="22"/>
          <w:szCs w:val="22"/>
        </w:rPr>
        <w:t xml:space="preserve">[PL 1985, c. 496,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§570-D.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§570-D.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§570-D.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