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585-J</w:t>
        <w:t xml:space="preserve">.  </w:t>
      </w:r>
      <w:r>
        <w:rPr>
          <w:b/>
        </w:rPr>
        <w:t xml:space="preserve">Architectural coatings</w:t>
      </w:r>
    </w:p>
    <w:p>
      <w:pPr>
        <w:jc w:val="both"/>
        <w:spacing w:before="100" w:after="100"/>
        <w:ind w:start="360"/>
        <w:ind w:firstLine="360"/>
      </w:pPr>
      <w:r>
        <w:rPr>
          <w:b/>
        </w:rPr>
        <w:t>1</w:t>
        <w:t xml:space="preserve">.  </w:t>
      </w:r>
      <w:r>
        <w:rPr>
          <w:b/>
        </w:rPr>
        <w:t xml:space="preserve">Manufactured on or after January 1, 2006.</w:t>
        <w:t xml:space="preserve"> </w:t>
      </w:r>
      <w:r>
        <w:t xml:space="preserve"> </w:t>
      </w:r>
      <w:r>
        <w:t xml:space="preserve">A person may not manufacture, blend or repackage for sale within the State, supply, sell or offer for sale within the State or solicit for application or apply within the State, any architectural or industrial maintenance coating manufactured on or after January 1, 2006 that contains volatile organic compounds in excess of limits specified in this subsection.  Limits are expressed in grams of volatile organic compounds per liter of coating thinned to the manufacturer's maximum recommendation, excluding the volume of any water, exempt compounds or colorant added to tint bases.  "Manufacturer's maximum recommendation" means the maximum recommendation for thinning that is indicated on the label or lid of the coating container.</w:t>
      </w:r>
    </w:p>
    <w:p>
      <w:pPr>
        <w:jc w:val="both"/>
        <w:spacing w:before="100" w:after="0"/>
        <w:ind w:start="720"/>
      </w:pPr>
      <w:r>
        <w:rPr/>
        <w:t>A</w:t>
        <w:t xml:space="preserve">.  </w:t>
      </w:r>
      <w:r>
        <w:rPr/>
      </w:r>
      <w:r>
        <w:t xml:space="preserve">Interior wood clear and semitransparent stains may not contain volatile organic compounds in excess of 550 grams per liter.</w:t>
      </w:r>
      <w:r>
        <w:t xml:space="preserve">  </w:t>
      </w:r>
      <w:r xmlns:wp="http://schemas.openxmlformats.org/drawingml/2010/wordprocessingDrawing" xmlns:w15="http://schemas.microsoft.com/office/word/2012/wordml">
        <w:rPr>
          <w:rFonts w:ascii="Arial" w:hAnsi="Arial" w:cs="Arial"/>
          <w:sz w:val="22"/>
          <w:szCs w:val="22"/>
        </w:rPr>
        <w:t xml:space="preserve">[PL 2005, c. 181, §1 (NEW).]</w:t>
      </w:r>
    </w:p>
    <w:p>
      <w:pPr>
        <w:jc w:val="both"/>
        <w:spacing w:before="100" w:after="0"/>
        <w:ind w:start="720"/>
      </w:pPr>
      <w:r>
        <w:rPr/>
        <w:t>B</w:t>
        <w:t xml:space="preserve">.  </w:t>
      </w:r>
      <w:r>
        <w:rPr/>
      </w:r>
      <w:r>
        <w:t xml:space="preserve">Varnishes may not contain volatile organic compounds in excess of 450 grams per liter.  Effective January 1, 2011, varnishes may not contain volatile organic compounds in excess of 350 grams per liter.</w:t>
      </w:r>
      <w:r>
        <w:t xml:space="preserve">  </w:t>
      </w:r>
      <w:r xmlns:wp="http://schemas.openxmlformats.org/drawingml/2010/wordprocessingDrawing" xmlns:w15="http://schemas.microsoft.com/office/word/2012/wordml">
        <w:rPr>
          <w:rFonts w:ascii="Arial" w:hAnsi="Arial" w:cs="Arial"/>
          <w:sz w:val="22"/>
          <w:szCs w:val="22"/>
        </w:rPr>
        <w:t xml:space="preserve">[PL 2005, c. 181,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w:t>
      </w:r>
    </w:p>
    <w:p>
      <w:pPr>
        <w:jc w:val="both"/>
        <w:spacing w:before="100" w:after="0"/>
        <w:ind w:start="360"/>
        <w:ind w:firstLine="360"/>
      </w:pPr>
      <w:r>
        <w:rPr>
          <w:b/>
        </w:rPr>
        <w:t>2</w:t>
        <w:t xml:space="preserve">.  </w:t>
      </w:r>
      <w:r>
        <w:rPr>
          <w:b/>
        </w:rPr>
        <w:t xml:space="preserve">Manufactured prior to January 1, 2006.</w:t>
        <w:t xml:space="preserve"> </w:t>
      </w:r>
      <w:r>
        <w:t xml:space="preserve"> </w:t>
      </w:r>
      <w:r>
        <w:t xml:space="preserve">An architectural or industrial maintenance coating manufactured prior to January 1, 2006 may be sold, supplied, offered for sale or applied after January 1, 2006 as long as the architectural or industrial maintenance coating complies with the standards in effect at the time the coating was manufactured, and the coating displays the date of manufacture on the lid, label or bottom of the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§585-J. Architectural coatings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§585-J. Architectural coatings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§585-J. ARCHITECTURAL COATINGS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