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590-A</w:t>
        <w:t xml:space="preserve">.  </w:t>
      </w:r>
      <w:r>
        <w:rPr>
          <w:b/>
        </w:rPr>
        <w:t xml:space="preserve">License terms</w:t>
      </w:r>
    </w:p>
    <w:p>
      <w:pPr>
        <w:jc w:val="both"/>
        <w:spacing w:before="100" w:after="100"/>
        <w:ind w:start="360"/>
        <w:ind w:firstLine="360"/>
      </w:pPr>
      <w:r>
        <w:rPr/>
      </w:r>
      <w:r>
        <w:rPr/>
      </w:r>
      <w:r>
        <w:t xml:space="preserve">The term of air emission licenses is 10 years, except that the term of licenses for air contaminant sources subject to the state permitting provisions of 40 Code of Federal Regulations, Part 70 is 5 years and licenses issued pursuant to rules adopted pursuant to </w:t>
      </w:r>
      <w:r>
        <w:t>section 580‑B, subsection 4, paragraph D</w:t>
      </w:r>
      <w:r>
        <w:t xml:space="preserve"> have no term.  The board may establish, by rule, shorter license terms for the following source categories as it considers necessary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2011, c. 538, §13 (AMD).]</w:t>
      </w:r>
    </w:p>
    <w:p>
      <w:pPr>
        <w:jc w:val="both"/>
        <w:spacing w:before="100" w:after="0"/>
        <w:ind w:start="360"/>
        <w:ind w:firstLine="360"/>
      </w:pPr>
      <w:r>
        <w:rPr>
          <w:b/>
        </w:rPr>
        <w:t>1</w:t>
        <w:t xml:space="preserve">.  </w:t>
      </w:r>
      <w:r>
        <w:rPr>
          <w:b/>
        </w:rPr>
        <w:t xml:space="preserve">Waste incinerators.</w:t>
        <w:t xml:space="preserve"> </w:t>
      </w:r>
      <w:r>
        <w:t xml:space="preserve"> </w:t>
      </w:r>
      <w:r>
        <w:t xml:space="preserve">Sources designed to burn solid waste for which a municipality is responsible pursuant to </w:t>
      </w:r>
      <w:r>
        <w:t>section 1305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w:pPr>
        <w:jc w:val="both"/>
        <w:spacing w:before="100" w:after="0"/>
        <w:ind w:start="360"/>
        <w:ind w:firstLine="360"/>
      </w:pPr>
      <w:r>
        <w:rPr>
          <w:b/>
        </w:rPr>
        <w:t>2</w:t>
        <w:t xml:space="preserve">.  </w:t>
      </w:r>
      <w:r>
        <w:rPr>
          <w:b/>
        </w:rPr>
        <w:t xml:space="preserve">Innovative control.</w:t>
        <w:t xml:space="preserve"> </w:t>
      </w:r>
      <w:r>
        <w:t xml:space="preserve"> </w:t>
      </w:r>
      <w:r>
        <w:t xml:space="preserve">Sources utilizing new or innovative air pollution control technology;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w:pPr>
        <w:jc w:val="both"/>
        <w:spacing w:before="100" w:after="0"/>
        <w:ind w:start="360"/>
        <w:ind w:firstLine="360"/>
      </w:pPr>
      <w:r>
        <w:rPr>
          <w:b/>
        </w:rPr>
        <w:t>3</w:t>
        <w:t xml:space="preserve">.  </w:t>
      </w:r>
      <w:r>
        <w:rPr>
          <w:b/>
        </w:rPr>
        <w:t xml:space="preserve">New sources.</w:t>
        <w:t xml:space="preserve"> </w:t>
      </w:r>
      <w:r>
        <w:t xml:space="preserve"> </w:t>
      </w:r>
      <w:r>
        <w:t xml:space="preserve">New sources that have not previously received an air emissions license from the department and those individual emission sources that have not previously been included in an air emissions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 PL 2011, c. 538,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§590-A. License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§590-A. License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§590-A. LICENSE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