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591-B</w:t>
        <w:t xml:space="preserve">.  </w:t>
      </w:r>
      <w:r>
        <w:rPr>
          <w:b/>
        </w:rPr>
        <w:t xml:space="preserve">Meteorological data collection</w:t>
      </w:r>
    </w:p>
    <w:p>
      <w:pPr>
        <w:jc w:val="both"/>
        <w:spacing w:before="100" w:after="0"/>
        <w:ind w:start="360"/>
        <w:ind w:firstLine="360"/>
      </w:pPr>
      <w:r>
        <w:rPr>
          <w:b/>
        </w:rPr>
        <w:t>1</w:t>
        <w:t xml:space="preserve">.  </w:t>
      </w:r>
      <w:r>
        <w:rPr>
          <w:b/>
        </w:rPr>
        <w:t xml:space="preserve">Data requirements.</w:t>
        <w:t xml:space="preserve"> </w:t>
      </w:r>
      <w:r>
        <w:t xml:space="preserve"> </w:t>
      </w:r>
      <w:r>
        <w:t xml:space="preserve">A minimum of one year of acceptable on-site meteorological data is required for any modeling analysis.  If more than one year of on-site data is available, all acceptable data must be used, up to a maximum of 5 years of data.  If less than 5 consecutive years of acceptable on-site data is available, the source must continue to collect meteorological data to obtain an acceptable 5-year data base.  Acceptable data means that the data meets the department's requirements based on the federal Environmental Protection Agency's guidelines on air quality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New data collection requirements.</w:t>
        <w:t xml:space="preserve"> </w:t>
      </w:r>
      <w:r>
        <w:t xml:space="preserve"> </w:t>
      </w:r>
      <w:r>
        <w:t xml:space="preserve">Once an acceptable on-site 5-year data base has been approved by the commissioner, it is acceptable for modeling purposes until:</w:t>
      </w:r>
    </w:p>
    <w:p>
      <w:pPr>
        <w:jc w:val="both"/>
        <w:spacing w:before="100" w:after="0"/>
        <w:ind w:start="720"/>
      </w:pPr>
      <w:r>
        <w:rPr/>
        <w:t>A</w:t>
        <w:t xml:space="preserve">.  </w:t>
      </w:r>
      <w:r>
        <w:rPr/>
      </w:r>
      <w:r>
        <w:t xml:space="preserve">The department's requirements based on federal requirements for meteorological data change;</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Sufficient ambient air quality violations occur to make collection of additional meteorological data necessary;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The emission source configuration is significantly changed.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§591-B. Meteorological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§591-B. Meteorological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§591-B. METEOROLOGICAL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