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Common law remedy limited</w:t>
      </w:r>
    </w:p>
    <w:p>
      <w:pPr>
        <w:jc w:val="both"/>
        <w:spacing w:before="100" w:after="100"/>
        <w:ind w:start="360"/>
        <w:ind w:firstLine="360"/>
      </w:pPr>
      <w:r>
        <w:rPr/>
      </w:r>
      <w:r>
        <w:rPr/>
      </w:r>
      <w:r>
        <w:t xml:space="preserve">No action shall be sustained at common law for the recovery of damages occasioned by the overflowing of lands or for the diversion of the water as before mentioned, except in the cases provided in this chapter, to enforce the payment of damages after they have been ascertained by process of complaint.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§721. Common law remedy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Common law remedy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§721. COMMON LAW REMEDY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