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w:t>
        <w:t xml:space="preserve">.  </w:t>
      </w:r>
      <w:r>
        <w:rPr>
          <w:b/>
        </w:rPr>
        <w:t xml:space="preserve">Transition provision</w:t>
      </w:r>
    </w:p>
    <w:p>
      <w:pPr>
        <w:jc w:val="both"/>
        <w:spacing w:before="100" w:after="100"/>
        <w:ind w:start="360"/>
        <w:ind w:firstLine="360"/>
      </w:pPr>
      <w:r>
        <w:rPr/>
      </w:r>
      <w:r>
        <w:rPr/>
      </w:r>
      <w:r>
        <w:t xml:space="preserve">All orders of the State Soil and Water Conservation Commission or the Commissioner of Agriculture, Food and Rural Resources issued under former </w:t>
      </w:r>
      <w:r>
        <w:t>Title 12, section 304</w:t>
      </w:r>
      <w:r>
        <w:t xml:space="preserve"> continue in effect and must be enforced by the commissioner until they expire or are rescinded or amended under this subarticle.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890, §§A40,B203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§842. Transition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 Transition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§842. TRANSITION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