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Notice of failure to locate new owner</w:t>
      </w:r>
    </w:p>
    <w:p>
      <w:pPr>
        <w:jc w:val="both"/>
        <w:spacing w:before="100" w:after="100"/>
        <w:ind w:start="360"/>
        <w:ind w:firstLine="360"/>
      </w:pPr>
      <w:r>
        <w:rPr/>
      </w:r>
      <w:r>
        <w:rPr/>
      </w:r>
      <w:r>
        <w:t xml:space="preserve">If a new owner has not been located through the process set forth in </w:t>
      </w:r>
      <w:r>
        <w:t>sections 902</w:t>
      </w:r>
      <w:r>
        <w:t xml:space="preserve"> and </w:t>
      </w:r>
      <w:r>
        <w:t>903</w:t>
      </w:r>
      <w:r>
        <w:t xml:space="preserve">, the department shall provide notice that a new owner for the dam has not been located and that the department intends to issue an order requiring the dam owner to release water from the dam in accordance with </w:t>
      </w:r>
      <w:r>
        <w:t>section 905</w:t>
      </w:r>
      <w:r>
        <w:t xml:space="preserve">.  Notice must be sent by certified mail to each municipality in which the dam and impoundment are located, to county commissioners when the dam and impoundment are located in unorganized territory and to tribal governments when the dam and impoundment are located on tribal territory.  The department shall also publish notice of its intent to issue the order at least once in a newspaper circulated in the area in which the dam and impoundment are located.</w:t>
      </w:r>
      <w:r>
        <w:t xml:space="preserve">  </w:t>
      </w:r>
      <w:r xmlns:wp="http://schemas.openxmlformats.org/drawingml/2010/wordprocessingDrawing" xmlns:w15="http://schemas.microsoft.com/office/word/2012/wordml">
        <w:rPr>
          <w:rFonts w:ascii="Arial" w:hAnsi="Arial" w:cs="Arial"/>
          <w:sz w:val="22"/>
          <w:szCs w:val="22"/>
        </w:rPr>
        <w:t xml:space="preserve">[PL 1995, c. 630,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Notice of failure to locate new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§904. NOTICE OF FAILURE TO LOCATE NEW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