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959-B</w:t>
        <w:t xml:space="preserve">.  </w:t>
      </w:r>
      <w:r>
        <w:rPr>
          <w:b/>
        </w:rPr>
        <w:t xml:space="preserve">Permits with conditions</w:t>
      </w:r>
    </w:p>
    <w:p>
      <w:pPr>
        <w:jc w:val="both"/>
        <w:spacing w:before="100" w:after="100"/>
        <w:ind w:start="360"/>
        <w:ind w:firstLine="360"/>
      </w:pPr>
      <w:r>
        <w:rPr/>
      </w:r>
      <w:r>
        <w:rPr/>
      </w:r>
      <w:r>
        <w:t xml:space="preserve">Permits granted under this chapter may be made subject to such reasonable conditions concerning setback, location, spacing, size of structure or development, type of construction, time of completion, landscaping, retention of trees, screening, reclamation, erosion control, noise level, quantity and quality of discharge, sewage disposal and manner and method of operation, as the commission deems necessary to avoid the dangers enumerated in </w:t>
      </w:r>
      <w:r>
        <w:t>section 959‑A</w:t>
      </w:r>
      <w:r>
        <w:t xml:space="preserve">. For the purpose of enforcement, permits issued by the commission and conditions thereof shall be considered as orders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§959-B. Permits with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§959-B. Permits with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§959-B. PERMITS WITH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