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w:t>
        <w:t xml:space="preserve">.  </w:t>
      </w:r>
      <w:r>
        <w:rPr>
          <w:b/>
        </w:rPr>
        <w:t xml:space="preserve">Authority of pilots</w:t>
      </w:r>
    </w:p>
    <w:p>
      <w:pPr>
        <w:jc w:val="both"/>
        <w:spacing w:before="100" w:after="100"/>
        <w:ind w:start="360"/>
        <w:ind w:firstLine="360"/>
      </w:pPr>
      <w:r>
        <w:rPr/>
      </w:r>
      <w:r>
        <w:rPr/>
      </w:r>
      <w:r>
        <w:t xml:space="preserve">A pilot licensed under this subchapter may pilot any vessel required to take a state pilot anywhere upon the pilotage area for which the pilot is licensed.</w:t>
      </w:r>
      <w:r>
        <w:t xml:space="preserve">  </w:t>
      </w:r>
      <w:r xmlns:wp="http://schemas.openxmlformats.org/drawingml/2010/wordprocessingDrawing" xmlns:w15="http://schemas.microsoft.com/office/word/2012/wordml">
        <w:rPr>
          <w:rFonts w:ascii="Arial" w:hAnsi="Arial" w:cs="Arial"/>
          <w:sz w:val="22"/>
          <w:szCs w:val="22"/>
        </w:rPr>
        <w:t xml:space="preserve">[PL 1999, c. 355,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1999, c. 355,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 Authority of pilots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 Authority of pilots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§97. AUTHORITY OF PILOTS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