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209-A</w:t>
        <w:t xml:space="preserve">.  </w:t>
      </w:r>
      <w:r>
        <w:rPr>
          <w:b/>
        </w:rPr>
        <w:t xml:space="preserve">Medical fee schedule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"Ancillary services and products" means those services and products that are necessary but peripheral to the medical procedure.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"Medical fee schedule" means a list of medical procedures and the medical codes used and fees charged for those medical procedures.</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100"/>
        <w:ind w:start="360"/>
        <w:ind w:firstLine="360"/>
      </w:pPr>
      <w:r>
        <w:rPr>
          <w:b/>
        </w:rPr>
        <w:t>2</w:t>
        <w:t xml:space="preserve">.  </w:t>
      </w:r>
      <w:r>
        <w:rPr>
          <w:b/>
        </w:rPr>
        <w:t xml:space="preserve">Medical fee schedule.</w:t>
        <w:t xml:space="preserve"> </w:t>
      </w:r>
      <w:r>
        <w:t xml:space="preserve"> </w:t>
      </w:r>
      <w:r>
        <w:t xml:space="preserve">In order to ensure appropriate limitations on the cost of health care services while maintaining broad access for employees to health care providers in the State, the board shall adopt rules that establish a medical fee schedule setting the fees for medical and ancillary services and products rendered by individual health care practitioners and health care facilities in accordance with the following:</w:t>
      </w:r>
    </w:p>
    <w:p>
      <w:pPr>
        <w:jc w:val="both"/>
        <w:spacing w:before="100" w:after="0"/>
        <w:ind w:start="720"/>
      </w:pPr>
      <w:r>
        <w:rPr/>
        <w:t>A</w:t>
        <w:t xml:space="preserve">.  </w:t>
      </w:r>
      <w:r>
        <w:rPr/>
      </w:r>
      <w:r>
        <w:t xml:space="preserve">The medical fee schedule for services rendered by individual health care practitioners must reflect the methodology underlying the federal Centers for Medicare and Medicaid Services resource-based relative value scale;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The medical fee schedule for services rendered by health care facilities must reflect the methodology and categories set forth in the federal Centers for Medicare and Medicaid Services severity-diagnosis related group system for inpatient services and the methodologies and categories set forth in the federal Centers for Medicare and Medicaid Services ambulatory payment classification system for 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medical fee schedule must be consistent with the most current medical coding and billing systems, including the federal Centers for Medicare and Medicaid Services resource-based relative value scale, severity-diagnosis related group system, ambulatory payment classification system and healthcare common procedure coding system; the International Statistical Classification of Diseases and Related Health Problems report issued by the World Health Organization and the current procedural terminology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3</w:t>
        <w:t xml:space="preserve">.  </w:t>
      </w:r>
      <w:r>
        <w:rPr>
          <w:b/>
        </w:rPr>
        <w:t xml:space="preserve">Annual updates.</w:t>
        <w:t xml:space="preserve"> </w:t>
      </w:r>
      <w:r>
        <w:t xml:space="preserve"> </w:t>
      </w:r>
      <w:r>
        <w:t xml:space="preserve">Notwithstanding </w:t>
      </w:r>
      <w:r>
        <w:t>Title 5, chapter 375, subchapter 2</w:t>
      </w:r>
      <w:r>
        <w:t xml:space="preserve">, the executive director of the board shall annually update the medical fee schedule developed pursuant to </w:t>
      </w:r>
      <w:r>
        <w:t>subsection 2</w:t>
      </w:r>
      <w:r>
        <w:t xml:space="preserve">.  In order to facilitate the update, the executive director annually shall obtain from the Maine Health Data Organization the average total payments, including professional, facility, ancillary and patient cost-sharing contribution, across all providers in the Maine Health Data Organization database for the medical and ancillary services and products most commonly rendered during the immediately preceding calendar year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4</w:t>
        <w:t xml:space="preserve">.  </w:t>
      </w:r>
      <w:r>
        <w:rPr>
          <w:b/>
        </w:rPr>
        <w:t xml:space="preserve">Reimbursement rate if medical fee schedule not established or updated.</w:t>
        <w:t xml:space="preserve"> </w:t>
      </w:r>
      <w:r>
        <w:t xml:space="preserve"> </w:t>
      </w:r>
      <w:r>
        <w:t xml:space="preserve">If the board fails to adopt rules that establish a medical fee schedule in accordance with </w:t>
      </w:r>
      <w:r>
        <w:t>subsection 2</w:t>
      </w:r>
      <w:r>
        <w:t xml:space="preserve"> by December 31, 2011 or the executive director fails to annually update the medical fee schedule in accordance with </w:t>
      </w:r>
      <w:r>
        <w:t>subsection 3</w:t>
      </w:r>
      <w:r>
        <w:t xml:space="preserve">, the reimbursement rate for medical services is the amount established by the medical fee schedule in effect on the date the update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§3 (AMD).]</w:t>
      </w:r>
    </w:p>
    <w:p>
      <w:pPr>
        <w:jc w:val="both"/>
        <w:spacing w:before="100" w:after="100"/>
        <w:ind w:start="360"/>
        <w:ind w:firstLine="360"/>
      </w:pPr>
      <w:r>
        <w:rPr>
          <w:b/>
        </w:rPr>
        <w:t>5</w:t>
        <w:t xml:space="preserve">.  </w:t>
      </w:r>
      <w:r>
        <w:rPr>
          <w:b/>
        </w:rPr>
        <w:t xml:space="preserve">Periodic updates to the medical fee schedule.</w:t>
        <w:t xml:space="preserve"> </w:t>
      </w:r>
      <w:r>
        <w:t xml:space="preserve"> </w:t>
      </w:r>
      <w:r>
        <w:t xml:space="preserve">In addition to the annual updates to the medical fee schedule required by </w:t>
      </w:r>
      <w:r>
        <w:t>subsection 3</w:t>
      </w:r>
      <w:r>
        <w:t xml:space="preserve">, the board shall undertake a comprehensive review of the medical fee schedule once every 3 years beginning in 2014.  The board shall consider the following factors in setting or revising the medical fee schedule as required by this section:</w:t>
      </w:r>
    </w:p>
    <w:p>
      <w:pPr>
        <w:jc w:val="both"/>
        <w:spacing w:before="100" w:after="0"/>
        <w:ind w:start="720"/>
      </w:pPr>
      <w:r>
        <w:rPr/>
        <w:t>A</w:t>
        <w:t xml:space="preserve">.  </w:t>
      </w:r>
      <w:r>
        <w:rPr/>
      </w:r>
      <w:r>
        <w:t xml:space="preserve">The private 3rd-party payor average payment rates obtained from the Maine Health Data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B</w:t>
        <w:t xml:space="preserve">.  </w:t>
      </w:r>
      <w:r>
        <w:rPr/>
      </w:r>
      <w:r>
        <w:t xml:space="preserve">Any material administrative burden imposed on providers by the nature of the workers' compensation system; and</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w:pPr>
        <w:jc w:val="both"/>
        <w:spacing w:before="100" w:after="0"/>
        <w:ind w:start="720"/>
      </w:pPr>
      <w:r>
        <w:rPr/>
        <w:t>C</w:t>
        <w:t xml:space="preserve">.  </w:t>
      </w:r>
      <w:r>
        <w:rPr/>
      </w:r>
      <w:r>
        <w:t xml:space="preserve">The goal of maintaining broad access for employees to all individual health care practitioners and health care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6</w:t>
        <w:t xml:space="preserve">.  </w:t>
      </w:r>
      <w:r>
        <w:rPr>
          <w:b/>
        </w:rPr>
        <w:t xml:space="preserve">Associated services fee schedule.</w:t>
        <w:t xml:space="preserve"> </w:t>
      </w:r>
      <w:r>
        <w:t xml:space="preserve"> </w:t>
      </w:r>
      <w:r>
        <w:t xml:space="preserve">The board shall adopt rules that establish a fee schedule or other standards of reimbursement for providers regarding administrative, case management, medical and legal and other activities unique to the treatment of injured workers in the workers' compensation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w:pPr>
        <w:jc w:val="both"/>
        <w:spacing w:before="100" w:after="0"/>
        <w:ind w:start="360"/>
        <w:ind w:firstLine="360"/>
      </w:pPr>
      <w:r>
        <w:rPr>
          <w:b/>
        </w:rPr>
        <w:t>7</w:t>
        <w:t xml:space="preserve">.  </w:t>
      </w:r>
      <w:r>
        <w:rPr>
          <w:b/>
        </w:rPr>
        <w:t xml:space="preserve">MaineCare reimbursement.</w:t>
        <w:t xml:space="preserve"> </w:t>
      </w:r>
      <w:r>
        <w:t xml:space="preserve"> </w:t>
      </w:r>
      <w:r>
        <w:t xml:space="preserve">MaineCare must be paid 100% of any expenses incurred for the treatment of an injury of an employee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§4 (NEW). PL 2023, c. 205,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§209-A. Medical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§209-A. Medical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§209-A. MEDICAL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