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Time for filing petitions</w:t>
      </w:r>
    </w:p>
    <w:p>
      <w:pPr>
        <w:jc w:val="both"/>
        <w:spacing w:before="100" w:after="0"/>
        <w:ind w:start="360"/>
        <w:ind w:firstLine="360"/>
      </w:pPr>
      <w:r>
        <w:rPr>
          <w:b/>
        </w:rPr>
        <w:t>1</w:t>
        <w:t xml:space="preserve">.  </w:t>
      </w:r>
      <w:r>
        <w:rPr>
          <w:b/>
        </w:rPr>
        <w:t xml:space="preserve">Statute of limitations.</w:t>
        <w:t xml:space="preserve"> </w:t>
      </w:r>
      <w:r>
        <w:t xml:space="preserve"> </w:t>
      </w:r>
      <w:r>
        <w:t xml:space="preserve">Except as provided in this section, a petition brought under this Act is barred unless filed within 2 years after the date of injury or the date the employee's employer files a required first report of injury if required in </w:t>
      </w:r>
      <w:r>
        <w:t>section 303</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§18 (AMD).]</w:t>
      </w:r>
    </w:p>
    <w:p>
      <w:pPr>
        <w:jc w:val="both"/>
        <w:spacing w:before="100" w:after="100"/>
        <w:ind w:start="360"/>
        <w:ind w:firstLine="360"/>
      </w:pPr>
      <w:r>
        <w:rPr>
          <w:b/>
        </w:rPr>
        <w:t>2</w:t>
        <w:t xml:space="preserve">.  </w:t>
      </w:r>
      <w:r>
        <w:rPr>
          <w:b/>
        </w:rPr>
        <w:t xml:space="preserve">Payment of benefits.</w:t>
        <w:t xml:space="preserve"> </w:t>
      </w:r>
      <w:r>
        <w:t xml:space="preserve"> </w:t>
      </w:r>
      <w:r>
        <w:t xml:space="preserve">If an employer or insurer pays benefits under this Act, with or without prejudice, within the period provided in </w:t>
      </w:r>
      <w:r>
        <w:t>subsection 1</w:t>
      </w:r>
      <w:r>
        <w:t xml:space="preserve">, the period during which an employee or other interested party must file a petition is 6 years from the date of the most recent payment.</w:t>
      </w:r>
    </w:p>
    <w:p>
      <w:pPr>
        <w:jc w:val="both"/>
        <w:spacing w:before="100" w:after="0"/>
        <w:ind w:start="720"/>
      </w:pPr>
      <w:r>
        <w:rPr/>
        <w:t>A</w:t>
        <w:t xml:space="preserve">.  </w:t>
      </w:r>
      <w:r>
        <w:rPr/>
      </w:r>
      <w:r>
        <w:t xml:space="preserve">The provision of medical care for an injury or illness by or under the supervision of a health care provider employed by, or under contract with, the employer is a payment of benefits with respect to that injury or illness if:</w:t>
      </w:r>
    </w:p>
    <w:p>
      <w:pPr>
        <w:jc w:val="both"/>
        <w:spacing w:before="100" w:after="0"/>
        <w:ind w:start="1080"/>
      </w:pPr>
      <w:r>
        <w:rPr/>
        <w:t>(</w:t>
        <w:t>1</w:t>
        <w:t xml:space="preserve">)  </w:t>
      </w:r>
      <w:r>
        <w:rPr/>
      </w:r>
      <w:r>
        <w:t xml:space="preserve">Care was provided for that injury or illness on 6 or more occasions in the 12-month period after the initial treatment; and</w:t>
      </w:r>
    </w:p>
    <w:p>
      <w:pPr>
        <w:jc w:val="both"/>
        <w:spacing w:before="100" w:after="0"/>
        <w:ind w:start="1080"/>
      </w:pPr>
      <w:r>
        <w:rPr/>
        <w:t>(</w:t>
        <w:t>2</w:t>
        <w:t xml:space="preserve">)  </w:t>
      </w:r>
      <w:r>
        <w:rPr/>
      </w:r>
      <w:r>
        <w:t xml:space="preserve">The employer or the health care provider knew or should have known that the injury or illness was work-related.</w:t>
      </w:r>
    </w:p>
    <w:p>
      <w:pPr>
        <w:jc w:val="both"/>
        <w:spacing w:before="100" w:after="0"/>
        <w:ind w:start="720"/>
      </w:pPr>
      <w:r>
        <w:rPr/>
      </w:r>
      <w:r>
        <w:rPr/>
      </w:r>
      <w:r>
        <w:t xml:space="preserve">For the purposes of this paragraph, "health care provider" has the same meaning as provided in rules of the board.</w:t>
      </w:r>
      <w:r>
        <w:t xml:space="preserve">  </w:t>
      </w:r>
      <w:r xmlns:wp="http://schemas.openxmlformats.org/drawingml/2010/wordprocessingDrawing" xmlns:w15="http://schemas.microsoft.com/office/word/2012/wordml">
        <w:rPr>
          <w:rFonts w:ascii="Arial" w:hAnsi="Arial" w:cs="Arial"/>
          <w:sz w:val="22"/>
          <w:szCs w:val="22"/>
        </w:rPr>
        <w:t xml:space="preserve">[PL 2001, c. 435, §1 (NEW); PL 2001, c. 435,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435, §1 (AMD); PL 2001, c. 435, §2 (AFF).]</w:t>
      </w:r>
    </w:p>
    <w:p>
      <w:pPr>
        <w:jc w:val="both"/>
        <w:spacing w:before="100" w:after="0"/>
        <w:ind w:start="360"/>
        <w:ind w:firstLine="360"/>
      </w:pPr>
      <w:r>
        <w:rPr>
          <w:b/>
        </w:rPr>
        <w:t>3</w:t>
        <w:t xml:space="preserve">.  </w:t>
      </w:r>
      <w:r>
        <w:rPr>
          <w:b/>
        </w:rPr>
        <w:t xml:space="preserve">Establishment of injury.</w:t>
        <w:t xml:space="preserve"> </w:t>
      </w:r>
      <w:r>
        <w:t xml:space="preserve"> </w:t>
      </w:r>
      <w:r>
        <w:t xml:space="preserve">If the occurrence of a work-related injury is established by board decree, mediation report or agreement of the parties without the payment of benefits as provided in </w:t>
      </w:r>
      <w:r>
        <w:t>subsection 2</w:t>
      </w:r>
      <w:r>
        <w:t xml:space="preserve">, the period during which an employee or other interested party may file a petition is 6 years from the date of that decree, report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4</w:t>
        <w:t xml:space="preserve">.  </w:t>
      </w:r>
      <w:r>
        <w:rPr>
          <w:b/>
        </w:rPr>
        <w:t xml:space="preserve">Physical or mental incapacity.</w:t>
        <w:t xml:space="preserve"> </w:t>
      </w:r>
      <w:r>
        <w:t xml:space="preserve"> </w:t>
      </w:r>
      <w:r>
        <w:t xml:space="preserve">If an employee is unable to file a petition because of physical or mental incapacity, the period of that incapacity is not included in the limitation period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5</w:t>
        <w:t xml:space="preserve">.  </w:t>
      </w:r>
      <w:r>
        <w:rPr>
          <w:b/>
        </w:rPr>
        <w:t xml:space="preserve">Mistake of fact.</w:t>
        <w:t xml:space="preserve"> </w:t>
      </w:r>
      <w:r>
        <w:t xml:space="preserve"> </w:t>
      </w:r>
      <w:r>
        <w:t xml:space="preserve">If an employee fails to file a petition within the limitation period provided in </w:t>
      </w:r>
      <w:r>
        <w:t>subsection 1</w:t>
      </w:r>
      <w:r>
        <w:t xml:space="preserve"> because of mistake of fact as to the cause or nature of the injury, the employee may file a petition within a reasonable time, subject to the 6-year limitation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w:pPr>
        <w:jc w:val="both"/>
        <w:spacing w:before="100" w:after="0"/>
        <w:ind w:start="360"/>
        <w:ind w:firstLine="360"/>
      </w:pPr>
      <w:r>
        <w:rPr>
          <w:b/>
        </w:rPr>
        <w:t>6</w:t>
        <w:t xml:space="preserve">.  </w:t>
      </w:r>
      <w:r>
        <w:rPr>
          <w:b/>
        </w:rPr>
        <w:t xml:space="preserve">Death of employee.</w:t>
        <w:t xml:space="preserve"> </w:t>
      </w:r>
      <w:r>
        <w:t xml:space="preserve"> </w:t>
      </w:r>
      <w:r>
        <w:t xml:space="preserve">If an employee dies as a result of a work-related injury, a petition is barred unless filed within one year after the death or 2 years from the date of injury, whichever is later, but in any event not later than 6 years from the date of last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354, §6 (NEW); PL 1999, c. 354,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§6 (RPR). PL 1999, c. 354, §10 (AFF). PL 2001, c. 435, §1 (AMD). PL 2001, c. 435, §2 (AFF). PL 2011, c. 647,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Time for filing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Time for filing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§306. TIME FOR FILING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